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83F" w:rsidRDefault="001F6FFD">
      <w:pPr>
        <w:pStyle w:val="Heading1"/>
        <w:spacing w:before="122" w:line="259" w:lineRule="auto"/>
        <w:ind w:left="2152" w:right="2079" w:firstLine="292"/>
      </w:pPr>
      <w:bookmarkStart w:id="0" w:name="_GoBack"/>
      <w:bookmarkEnd w:id="0"/>
      <w:r>
        <w:t>IMPLEMENTAÇÃO DO SIGNWRITING EM</w:t>
      </w:r>
      <w:r>
        <w:rPr>
          <w:spacing w:val="-13"/>
        </w:rPr>
        <w:t xml:space="preserve"> </w:t>
      </w:r>
      <w:r>
        <w:t>CURRÍCULOS</w:t>
      </w:r>
      <w:r>
        <w:rPr>
          <w:spacing w:val="-11"/>
        </w:rPr>
        <w:t xml:space="preserve"> </w:t>
      </w:r>
      <w:r>
        <w:t>ESCOLARES</w:t>
      </w:r>
      <w:r>
        <w:rPr>
          <w:spacing w:val="-12"/>
        </w:rPr>
        <w:t xml:space="preserve"> </w:t>
      </w:r>
      <w:r>
        <w:t>BILÍNGUES</w:t>
      </w:r>
    </w:p>
    <w:p w:rsidR="00FD483F" w:rsidRDefault="001F6FFD">
      <w:pPr>
        <w:pStyle w:val="BodyText"/>
        <w:spacing w:before="148"/>
        <w:ind w:firstLine="6886"/>
        <w:jc w:val="left"/>
      </w:pPr>
      <w:r>
        <w:t>Ivan</w:t>
      </w:r>
      <w:r>
        <w:rPr>
          <w:spacing w:val="-5"/>
        </w:rPr>
        <w:t xml:space="preserve"> </w:t>
      </w:r>
      <w:r>
        <w:t>Pereira</w:t>
      </w:r>
      <w:r>
        <w:rPr>
          <w:spacing w:val="-2"/>
        </w:rPr>
        <w:t xml:space="preserve"> Quintana</w:t>
      </w:r>
      <w:hyperlink w:anchor="_bookmark0" w:history="1">
        <w:r>
          <w:rPr>
            <w:spacing w:val="-2"/>
            <w:vertAlign w:val="superscript"/>
          </w:rPr>
          <w:t>1</w:t>
        </w:r>
      </w:hyperlink>
    </w:p>
    <w:p w:rsidR="00FD483F" w:rsidRDefault="001F6FFD">
      <w:pPr>
        <w:pStyle w:val="BodyText"/>
        <w:spacing w:before="182" w:line="259" w:lineRule="auto"/>
        <w:ind w:right="110" w:firstLine="0"/>
      </w:pPr>
      <w:r>
        <w:rPr>
          <w:b/>
        </w:rPr>
        <w:t>Resumo</w:t>
      </w:r>
      <w:r>
        <w:t xml:space="preserve">: O </w:t>
      </w:r>
      <w:proofErr w:type="spellStart"/>
      <w:r>
        <w:t>SignWriting</w:t>
      </w:r>
      <w:proofErr w:type="spellEnd"/>
      <w:r>
        <w:t xml:space="preserve"> é um sistema visual desenvolvido por</w:t>
      </w:r>
      <w:r>
        <w:rPr>
          <w:spacing w:val="-3"/>
        </w:rPr>
        <w:t xml:space="preserve"> </w:t>
      </w:r>
      <w:proofErr w:type="spellStart"/>
      <w:r>
        <w:t>Valerie</w:t>
      </w:r>
      <w:proofErr w:type="spellEnd"/>
      <w:r>
        <w:t xml:space="preserve"> </w:t>
      </w:r>
      <w:proofErr w:type="spellStart"/>
      <w:r>
        <w:t>Sutton</w:t>
      </w:r>
      <w:proofErr w:type="spellEnd"/>
      <w:r>
        <w:t xml:space="preserve"> para línguas de sinais,</w:t>
      </w:r>
      <w:r>
        <w:rPr>
          <w:spacing w:val="-3"/>
        </w:rPr>
        <w:t xml:space="preserve"> </w:t>
      </w:r>
      <w:r>
        <w:t>promovendo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alfabetização</w:t>
      </w:r>
      <w:r>
        <w:rPr>
          <w:spacing w:val="-3"/>
        </w:rPr>
        <w:t xml:space="preserve"> </w:t>
      </w:r>
      <w:r>
        <w:t>bilíngue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inclusão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alunos</w:t>
      </w:r>
      <w:r>
        <w:rPr>
          <w:spacing w:val="-3"/>
        </w:rPr>
        <w:t xml:space="preserve"> </w:t>
      </w:r>
      <w:r>
        <w:t>surdos.</w:t>
      </w:r>
      <w:r>
        <w:rPr>
          <w:spacing w:val="-3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implementação eficaz</w:t>
      </w:r>
      <w:r>
        <w:rPr>
          <w:spacing w:val="-14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currículos</w:t>
      </w:r>
      <w:r>
        <w:rPr>
          <w:spacing w:val="-11"/>
        </w:rPr>
        <w:t xml:space="preserve"> </w:t>
      </w:r>
      <w:r>
        <w:t>escolares</w:t>
      </w:r>
      <w:r>
        <w:rPr>
          <w:spacing w:val="-14"/>
        </w:rPr>
        <w:t xml:space="preserve"> </w:t>
      </w:r>
      <w:r>
        <w:t>bilíngues</w:t>
      </w:r>
      <w:r>
        <w:rPr>
          <w:spacing w:val="-14"/>
        </w:rPr>
        <w:t xml:space="preserve"> </w:t>
      </w:r>
      <w:r>
        <w:t>requer</w:t>
      </w:r>
      <w:r>
        <w:rPr>
          <w:spacing w:val="-12"/>
        </w:rPr>
        <w:t xml:space="preserve"> </w:t>
      </w:r>
      <w:r>
        <w:t>capacitação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professores,</w:t>
      </w:r>
      <w:r>
        <w:rPr>
          <w:spacing w:val="-14"/>
        </w:rPr>
        <w:t xml:space="preserve"> </w:t>
      </w:r>
      <w:r>
        <w:t>desenvolvimento</w:t>
      </w:r>
      <w:r>
        <w:rPr>
          <w:spacing w:val="-14"/>
        </w:rPr>
        <w:t xml:space="preserve"> </w:t>
      </w:r>
      <w:r>
        <w:t>de materiais</w:t>
      </w:r>
      <w:r>
        <w:rPr>
          <w:spacing w:val="-5"/>
        </w:rPr>
        <w:t xml:space="preserve"> </w:t>
      </w:r>
      <w:r>
        <w:t>didáticos</w:t>
      </w:r>
      <w:r>
        <w:rPr>
          <w:spacing w:val="-5"/>
        </w:rPr>
        <w:t xml:space="preserve"> </w:t>
      </w:r>
      <w:r>
        <w:t>adaptados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integração</w:t>
      </w:r>
      <w:r>
        <w:rPr>
          <w:spacing w:val="-2"/>
        </w:rPr>
        <w:t xml:space="preserve"> </w:t>
      </w:r>
      <w:r>
        <w:t>curricular,</w:t>
      </w:r>
      <w:r>
        <w:rPr>
          <w:spacing w:val="-4"/>
        </w:rPr>
        <w:t xml:space="preserve"> </w:t>
      </w:r>
      <w:r>
        <w:t>além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engajamento</w:t>
      </w:r>
      <w:r>
        <w:rPr>
          <w:spacing w:val="-2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comunidade surda.</w:t>
      </w:r>
      <w:r>
        <w:rPr>
          <w:spacing w:val="-5"/>
        </w:rPr>
        <w:t xml:space="preserve"> </w:t>
      </w:r>
      <w:r>
        <w:t>Superar</w:t>
      </w:r>
      <w:r>
        <w:rPr>
          <w:spacing w:val="-6"/>
        </w:rPr>
        <w:t xml:space="preserve"> </w:t>
      </w:r>
      <w:r>
        <w:t>desafios</w:t>
      </w:r>
      <w:r>
        <w:rPr>
          <w:spacing w:val="-5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resistência</w:t>
      </w:r>
      <w:r>
        <w:rPr>
          <w:spacing w:val="-2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mudança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adaptação</w:t>
      </w:r>
      <w:r>
        <w:rPr>
          <w:spacing w:val="-3"/>
        </w:rPr>
        <w:t xml:space="preserve"> </w:t>
      </w:r>
      <w:r>
        <w:t>às</w:t>
      </w:r>
      <w:r>
        <w:rPr>
          <w:spacing w:val="-5"/>
        </w:rPr>
        <w:t xml:space="preserve"> </w:t>
      </w:r>
      <w:r>
        <w:t>diversas</w:t>
      </w:r>
      <w:r>
        <w:rPr>
          <w:spacing w:val="-5"/>
        </w:rPr>
        <w:t xml:space="preserve"> </w:t>
      </w:r>
      <w:r>
        <w:t>línguas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sinais</w:t>
      </w:r>
      <w:r>
        <w:rPr>
          <w:spacing w:val="-3"/>
        </w:rPr>
        <w:t xml:space="preserve"> </w:t>
      </w:r>
      <w:r>
        <w:t>é crucial para garantir uma educação inclusiva e equitativa.</w:t>
      </w:r>
    </w:p>
    <w:p w:rsidR="00FD483F" w:rsidRDefault="001F6FFD">
      <w:pPr>
        <w:spacing w:before="159"/>
        <w:ind w:left="102"/>
        <w:jc w:val="both"/>
        <w:rPr>
          <w:sz w:val="24"/>
        </w:rPr>
      </w:pPr>
      <w:r>
        <w:rPr>
          <w:b/>
          <w:sz w:val="24"/>
        </w:rPr>
        <w:t>Palavras-chave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Bilinguismo.</w:t>
      </w:r>
      <w:r>
        <w:rPr>
          <w:spacing w:val="-2"/>
          <w:sz w:val="24"/>
        </w:rPr>
        <w:t xml:space="preserve"> </w:t>
      </w:r>
      <w:r>
        <w:rPr>
          <w:sz w:val="24"/>
        </w:rPr>
        <w:t>Educação.</w:t>
      </w:r>
      <w:r>
        <w:rPr>
          <w:spacing w:val="-2"/>
          <w:sz w:val="24"/>
        </w:rPr>
        <w:t xml:space="preserve"> </w:t>
      </w:r>
      <w:r>
        <w:rPr>
          <w:sz w:val="24"/>
        </w:rPr>
        <w:t>Inclusão.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SignWriting</w:t>
      </w:r>
      <w:proofErr w:type="spellEnd"/>
      <w:r>
        <w:rPr>
          <w:spacing w:val="-2"/>
          <w:sz w:val="24"/>
        </w:rPr>
        <w:t>.</w:t>
      </w:r>
    </w:p>
    <w:p w:rsidR="00FD483F" w:rsidRDefault="001F6FFD">
      <w:pPr>
        <w:pStyle w:val="BodyText"/>
        <w:spacing w:before="182" w:line="360" w:lineRule="auto"/>
        <w:ind w:right="111"/>
      </w:pPr>
      <w:r>
        <w:t xml:space="preserve">O </w:t>
      </w:r>
      <w:proofErr w:type="spellStart"/>
      <w:r>
        <w:t>SignWriting</w:t>
      </w:r>
      <w:proofErr w:type="spellEnd"/>
      <w:r>
        <w:t xml:space="preserve">, um sistema de escrita visual desenvolvido por </w:t>
      </w:r>
      <w:proofErr w:type="spellStart"/>
      <w:r>
        <w:t>Val</w:t>
      </w:r>
      <w:r>
        <w:t>erie</w:t>
      </w:r>
      <w:proofErr w:type="spellEnd"/>
      <w:r>
        <w:t xml:space="preserve"> </w:t>
      </w:r>
      <w:proofErr w:type="spellStart"/>
      <w:r>
        <w:t>Sutton</w:t>
      </w:r>
      <w:proofErr w:type="spellEnd"/>
      <w:r>
        <w:t xml:space="preserve"> para línguas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sinais,</w:t>
      </w:r>
      <w:r>
        <w:rPr>
          <w:spacing w:val="-5"/>
        </w:rPr>
        <w:t xml:space="preserve"> </w:t>
      </w:r>
      <w:r>
        <w:t>representa</w:t>
      </w:r>
      <w:r>
        <w:rPr>
          <w:spacing w:val="-6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inovação</w:t>
      </w:r>
      <w:r>
        <w:rPr>
          <w:spacing w:val="-6"/>
        </w:rPr>
        <w:t xml:space="preserve"> </w:t>
      </w:r>
      <w:r>
        <w:t>significativa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promoção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alfabetização</w:t>
      </w:r>
      <w:r>
        <w:rPr>
          <w:spacing w:val="-6"/>
        </w:rPr>
        <w:t xml:space="preserve"> </w:t>
      </w:r>
      <w:r>
        <w:t>bilíngue e</w:t>
      </w:r>
      <w:r>
        <w:rPr>
          <w:spacing w:val="-15"/>
        </w:rPr>
        <w:t xml:space="preserve"> </w:t>
      </w:r>
      <w:r>
        <w:t>inclusão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alunos</w:t>
      </w:r>
      <w:r>
        <w:rPr>
          <w:spacing w:val="-15"/>
        </w:rPr>
        <w:t xml:space="preserve"> </w:t>
      </w:r>
      <w:r>
        <w:t>surdos.</w:t>
      </w:r>
      <w:r>
        <w:rPr>
          <w:spacing w:val="-15"/>
        </w:rPr>
        <w:t xml:space="preserve"> </w:t>
      </w:r>
      <w:r>
        <w:t>Sua</w:t>
      </w:r>
      <w:r>
        <w:rPr>
          <w:spacing w:val="-15"/>
        </w:rPr>
        <w:t xml:space="preserve"> </w:t>
      </w:r>
      <w:r>
        <w:t>implementação</w:t>
      </w:r>
      <w:r>
        <w:rPr>
          <w:spacing w:val="-15"/>
        </w:rPr>
        <w:t xml:space="preserve"> </w:t>
      </w:r>
      <w:r>
        <w:t>eficaz</w:t>
      </w:r>
      <w:r>
        <w:rPr>
          <w:spacing w:val="-15"/>
        </w:rPr>
        <w:t xml:space="preserve"> </w:t>
      </w:r>
      <w:r>
        <w:t>nos</w:t>
      </w:r>
      <w:r>
        <w:rPr>
          <w:spacing w:val="-15"/>
        </w:rPr>
        <w:t xml:space="preserve"> </w:t>
      </w:r>
      <w:r>
        <w:t>currículos</w:t>
      </w:r>
      <w:r>
        <w:rPr>
          <w:spacing w:val="-15"/>
        </w:rPr>
        <w:t xml:space="preserve"> </w:t>
      </w:r>
      <w:r>
        <w:t>escolares</w:t>
      </w:r>
      <w:r>
        <w:rPr>
          <w:spacing w:val="-15"/>
        </w:rPr>
        <w:t xml:space="preserve"> </w:t>
      </w:r>
      <w:r>
        <w:t>bilíngues</w:t>
      </w:r>
      <w:r>
        <w:rPr>
          <w:spacing w:val="-15"/>
        </w:rPr>
        <w:t xml:space="preserve"> </w:t>
      </w:r>
      <w:r>
        <w:t>requer uma abordagem educacional abrangente e estratégica, focada em capacitação de professores, desenvolvimento de materiais didáticos adaptados, integração curricular, engajamento da comunidade e superação de desafios específicos.</w:t>
      </w:r>
    </w:p>
    <w:p w:rsidR="00FD483F" w:rsidRDefault="001F6FFD">
      <w:pPr>
        <w:pStyle w:val="BodyText"/>
        <w:spacing w:line="360" w:lineRule="auto"/>
        <w:ind w:right="108"/>
      </w:pPr>
      <w:r>
        <w:t>Na educação bilíngue, q</w:t>
      </w:r>
      <w:r>
        <w:t xml:space="preserve">ue combina língua de sinais e língua escrita, o </w:t>
      </w:r>
      <w:proofErr w:type="spellStart"/>
      <w:r>
        <w:t>SignWriting</w:t>
      </w:r>
      <w:proofErr w:type="spellEnd"/>
      <w:r>
        <w:t xml:space="preserve"> oferece</w:t>
      </w:r>
      <w:r>
        <w:rPr>
          <w:spacing w:val="-4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ferramenta</w:t>
      </w:r>
      <w:r>
        <w:rPr>
          <w:spacing w:val="-4"/>
        </w:rPr>
        <w:t xml:space="preserve"> </w:t>
      </w:r>
      <w:r>
        <w:t>poderosa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melhorar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alfabetização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aprendizagem.</w:t>
      </w:r>
      <w:r>
        <w:rPr>
          <w:spacing w:val="-4"/>
        </w:rPr>
        <w:t xml:space="preserve"> </w:t>
      </w:r>
      <w:r>
        <w:t>Ele não</w:t>
      </w:r>
      <w:r>
        <w:rPr>
          <w:spacing w:val="-1"/>
        </w:rPr>
        <w:t xml:space="preserve"> </w:t>
      </w:r>
      <w:r>
        <w:t>só</w:t>
      </w:r>
      <w:r>
        <w:rPr>
          <w:spacing w:val="-1"/>
        </w:rPr>
        <w:t xml:space="preserve"> </w:t>
      </w:r>
      <w:r>
        <w:t>complementa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língua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sinais</w:t>
      </w:r>
      <w:r>
        <w:rPr>
          <w:spacing w:val="-1"/>
        </w:rPr>
        <w:t xml:space="preserve"> </w:t>
      </w:r>
      <w:r>
        <w:t>usada</w:t>
      </w:r>
      <w:r>
        <w:rPr>
          <w:spacing w:val="-2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alunos</w:t>
      </w:r>
      <w:r>
        <w:rPr>
          <w:spacing w:val="-1"/>
        </w:rPr>
        <w:t xml:space="preserve"> </w:t>
      </w:r>
      <w:r>
        <w:t>surdos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promove</w:t>
      </w:r>
      <w:r>
        <w:rPr>
          <w:spacing w:val="-2"/>
        </w:rPr>
        <w:t xml:space="preserve"> </w:t>
      </w:r>
      <w:r>
        <w:t>uma compreensão ma</w:t>
      </w:r>
      <w:r>
        <w:t>is profunda e integrada da linguagem escrita.</w:t>
      </w:r>
    </w:p>
    <w:p w:rsidR="00FD483F" w:rsidRDefault="001F6FFD">
      <w:pPr>
        <w:pStyle w:val="BodyText"/>
        <w:spacing w:before="1" w:line="360" w:lineRule="auto"/>
        <w:ind w:right="110"/>
      </w:pPr>
      <w:r>
        <w:t>A</w:t>
      </w:r>
      <w:r>
        <w:rPr>
          <w:spacing w:val="-8"/>
        </w:rPr>
        <w:t xml:space="preserve"> </w:t>
      </w:r>
      <w:r>
        <w:t xml:space="preserve">formação inicial e contínua dos professores é essencial para a implementação eficaz do </w:t>
      </w:r>
      <w:proofErr w:type="spellStart"/>
      <w:r>
        <w:t>SignWriting</w:t>
      </w:r>
      <w:proofErr w:type="spellEnd"/>
      <w:r>
        <w:t xml:space="preserve">. Isso inclui não apenas a familiarização com os princípios e práticas do </w:t>
      </w:r>
      <w:proofErr w:type="spellStart"/>
      <w:r>
        <w:t>SignWriting</w:t>
      </w:r>
      <w:proofErr w:type="spellEnd"/>
      <w:r>
        <w:t>, mas também o desenvolvi</w:t>
      </w:r>
      <w:r>
        <w:t>mento de competências pedagógicas adaptativas para atender às necessidades variadas dos alunos surdos.</w:t>
      </w:r>
    </w:p>
    <w:p w:rsidR="00FD483F" w:rsidRDefault="001F6FFD">
      <w:pPr>
        <w:pStyle w:val="BodyText"/>
        <w:spacing w:line="360" w:lineRule="auto"/>
        <w:ind w:right="111"/>
      </w:pPr>
      <w:r>
        <w:t xml:space="preserve">O desenvolvimento de materiais didáticos adaptados ao </w:t>
      </w:r>
      <w:proofErr w:type="spellStart"/>
      <w:r>
        <w:t>SignWriting</w:t>
      </w:r>
      <w:proofErr w:type="spellEnd"/>
      <w:r>
        <w:t xml:space="preserve">, como livros, exercícios e tecnologias </w:t>
      </w:r>
      <w:proofErr w:type="spellStart"/>
      <w:r>
        <w:t>assistivas</w:t>
      </w:r>
      <w:proofErr w:type="spellEnd"/>
      <w:r>
        <w:t>, é crucial para apoiar o ensino e a a</w:t>
      </w:r>
      <w:r>
        <w:t>prendizagem. Esses recursos</w:t>
      </w:r>
      <w:r>
        <w:rPr>
          <w:spacing w:val="-3"/>
        </w:rPr>
        <w:t xml:space="preserve"> </w:t>
      </w:r>
      <w:r>
        <w:t>devem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projetados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sensibilidade</w:t>
      </w:r>
      <w:r>
        <w:rPr>
          <w:spacing w:val="-5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especificidades</w:t>
      </w:r>
      <w:r>
        <w:rPr>
          <w:spacing w:val="-2"/>
        </w:rPr>
        <w:t xml:space="preserve"> </w:t>
      </w:r>
      <w:r>
        <w:t>linguísticas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culturais</w:t>
      </w:r>
      <w:r>
        <w:rPr>
          <w:spacing w:val="-2"/>
        </w:rPr>
        <w:t xml:space="preserve"> </w:t>
      </w:r>
      <w:r>
        <w:t>das línguas de sinais, garantindo acessibilidade e eficácia.</w:t>
      </w:r>
    </w:p>
    <w:p w:rsidR="00FD483F" w:rsidRDefault="001F6FFD">
      <w:pPr>
        <w:pStyle w:val="BodyText"/>
        <w:spacing w:before="1" w:line="360" w:lineRule="auto"/>
        <w:ind w:right="117"/>
      </w:pPr>
      <w:r>
        <w:t xml:space="preserve">Integrar o </w:t>
      </w:r>
      <w:proofErr w:type="spellStart"/>
      <w:r>
        <w:t>SignWriting</w:t>
      </w:r>
      <w:proofErr w:type="spellEnd"/>
      <w:r>
        <w:t xml:space="preserve"> de maneira interdisciplinar ao currículo escolar fortalece su</w:t>
      </w:r>
      <w:r>
        <w:t>a aplicação</w:t>
      </w:r>
      <w:r>
        <w:rPr>
          <w:spacing w:val="18"/>
        </w:rPr>
        <w:t xml:space="preserve"> </w:t>
      </w:r>
      <w:r>
        <w:t>prática</w:t>
      </w:r>
      <w:r>
        <w:rPr>
          <w:spacing w:val="21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relevância</w:t>
      </w:r>
      <w:r>
        <w:rPr>
          <w:spacing w:val="23"/>
        </w:rPr>
        <w:t xml:space="preserve"> </w:t>
      </w:r>
      <w:r>
        <w:t>educacional.</w:t>
      </w:r>
      <w:r>
        <w:rPr>
          <w:spacing w:val="20"/>
        </w:rPr>
        <w:t xml:space="preserve"> </w:t>
      </w:r>
      <w:r>
        <w:t>Isso</w:t>
      </w:r>
      <w:r>
        <w:rPr>
          <w:spacing w:val="22"/>
        </w:rPr>
        <w:t xml:space="preserve"> </w:t>
      </w:r>
      <w:r>
        <w:t>inclui</w:t>
      </w:r>
      <w:r>
        <w:rPr>
          <w:spacing w:val="20"/>
        </w:rPr>
        <w:t xml:space="preserve"> </w:t>
      </w:r>
      <w:r>
        <w:t>não</w:t>
      </w:r>
      <w:r>
        <w:rPr>
          <w:spacing w:val="21"/>
        </w:rPr>
        <w:t xml:space="preserve"> </w:t>
      </w:r>
      <w:r>
        <w:t>apenas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implementação</w:t>
      </w:r>
      <w:r>
        <w:rPr>
          <w:spacing w:val="20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2"/>
        </w:rPr>
        <w:t>aulas</w:t>
      </w:r>
    </w:p>
    <w:p w:rsidR="00FD483F" w:rsidRDefault="00FD483F">
      <w:pPr>
        <w:pStyle w:val="BodyText"/>
        <w:ind w:left="0" w:firstLine="0"/>
        <w:jc w:val="left"/>
        <w:rPr>
          <w:sz w:val="20"/>
        </w:rPr>
      </w:pPr>
    </w:p>
    <w:p w:rsidR="00FD483F" w:rsidRDefault="001F6FFD">
      <w:pPr>
        <w:pStyle w:val="BodyText"/>
        <w:spacing w:before="222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302547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85.103996pt;margin-top:23.822622pt;width:144.020pt;height:.599980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FD483F" w:rsidRDefault="001F6FFD">
      <w:pPr>
        <w:spacing w:before="130"/>
        <w:ind w:left="102" w:right="111"/>
        <w:jc w:val="both"/>
        <w:rPr>
          <w:sz w:val="20"/>
        </w:rPr>
      </w:pPr>
      <w:bookmarkStart w:id="1" w:name="_bookmark0"/>
      <w:bookmarkEnd w:id="1"/>
      <w:r>
        <w:rPr>
          <w:sz w:val="20"/>
          <w:vertAlign w:val="superscript"/>
        </w:rPr>
        <w:t>1</w:t>
      </w:r>
      <w:r>
        <w:rPr>
          <w:sz w:val="20"/>
        </w:rPr>
        <w:t xml:space="preserve"> Licenciado em Filosofia pela Universidade Federal do Rio Grande do Sul (UFRGS), graduando em Pedagogia bilíngue pelo Instituto Nacional de Educação de Surdos – Rio de Janeiro/Polo UFRGS. E-mail: </w:t>
      </w:r>
      <w:hyperlink r:id="rId6">
        <w:r>
          <w:rPr>
            <w:color w:val="006FC0"/>
            <w:spacing w:val="-2"/>
            <w:sz w:val="20"/>
            <w:u w:val="single" w:color="006FC0"/>
          </w:rPr>
          <w:t>ivanquin</w:t>
        </w:r>
        <w:r>
          <w:rPr>
            <w:color w:val="006FC0"/>
            <w:spacing w:val="-2"/>
            <w:sz w:val="20"/>
            <w:u w:val="single" w:color="006FC0"/>
          </w:rPr>
          <w:t>tana274@gmail.com</w:t>
        </w:r>
        <w:r>
          <w:rPr>
            <w:spacing w:val="-2"/>
            <w:sz w:val="20"/>
          </w:rPr>
          <w:t>.</w:t>
        </w:r>
      </w:hyperlink>
    </w:p>
    <w:p w:rsidR="00FD483F" w:rsidRDefault="00FD483F">
      <w:pPr>
        <w:jc w:val="both"/>
        <w:rPr>
          <w:sz w:val="20"/>
        </w:rPr>
        <w:sectPr w:rsidR="00FD483F">
          <w:headerReference w:type="default" r:id="rId7"/>
          <w:type w:val="continuous"/>
          <w:pgSz w:w="11910" w:h="16840"/>
          <w:pgMar w:top="2140" w:right="1020" w:bottom="280" w:left="1600" w:header="709" w:footer="0" w:gutter="0"/>
          <w:pgNumType w:start="1"/>
          <w:cols w:space="720"/>
        </w:sectPr>
      </w:pPr>
    </w:p>
    <w:p w:rsidR="00FD483F" w:rsidRDefault="001F6FFD">
      <w:pPr>
        <w:pStyle w:val="BodyText"/>
        <w:spacing w:before="122" w:line="360" w:lineRule="auto"/>
        <w:ind w:right="115" w:firstLine="0"/>
      </w:pPr>
      <w:r>
        <w:lastRenderedPageBreak/>
        <w:t xml:space="preserve">específicas sobre </w:t>
      </w:r>
      <w:proofErr w:type="spellStart"/>
      <w:r>
        <w:t>SignWriting</w:t>
      </w:r>
      <w:proofErr w:type="spellEnd"/>
      <w:r>
        <w:t>, mas também sua incorporação em diversas disciplinas para enriquecer o aprendizado dos alunos.</w:t>
      </w:r>
    </w:p>
    <w:p w:rsidR="00FD483F" w:rsidRDefault="001F6FFD">
      <w:pPr>
        <w:pStyle w:val="BodyText"/>
        <w:spacing w:line="360" w:lineRule="auto"/>
        <w:ind w:right="110"/>
      </w:pPr>
      <w:r>
        <w:t xml:space="preserve">Incentivar a participação ativa dos pais e promover a colaboração com a comunidade surda são fundamentais para criar um ambiente educacional de apoio mútuo. Isso envolve educar os pais sobre o </w:t>
      </w:r>
      <w:proofErr w:type="spellStart"/>
      <w:r>
        <w:t>SignWriting</w:t>
      </w:r>
      <w:proofErr w:type="spellEnd"/>
      <w:r>
        <w:t xml:space="preserve"> e envolvê-los no processo educacional, além de cola</w:t>
      </w:r>
      <w:r>
        <w:t>borar com líderes comunitários para garantir uma implementação culturalmente sensível e eficaz.</w:t>
      </w:r>
    </w:p>
    <w:p w:rsidR="00FD483F" w:rsidRDefault="001F6FFD">
      <w:pPr>
        <w:pStyle w:val="BodyText"/>
        <w:spacing w:line="360" w:lineRule="auto"/>
        <w:ind w:right="110"/>
      </w:pPr>
      <w:r>
        <w:t>Superar</w:t>
      </w:r>
      <w:r>
        <w:rPr>
          <w:spacing w:val="-2"/>
        </w:rPr>
        <w:t xml:space="preserve"> </w:t>
      </w:r>
      <w:r>
        <w:t>desafios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resistência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mudança,</w:t>
      </w:r>
      <w:r>
        <w:rPr>
          <w:spacing w:val="-1"/>
        </w:rPr>
        <w:t xml:space="preserve"> </w:t>
      </w:r>
      <w:r>
        <w:t>falta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adaptação às</w:t>
      </w:r>
      <w:r>
        <w:rPr>
          <w:spacing w:val="-1"/>
        </w:rPr>
        <w:t xml:space="preserve"> </w:t>
      </w:r>
      <w:r>
        <w:t>diversas línguas de sinais requer estratégias específicas. Isso inclui conscientiz</w:t>
      </w:r>
      <w:r>
        <w:t xml:space="preserve">ação contínua sobre os benefícios do </w:t>
      </w:r>
      <w:proofErr w:type="spellStart"/>
      <w:r>
        <w:t>SignWriting</w:t>
      </w:r>
      <w:proofErr w:type="spellEnd"/>
      <w:r>
        <w:t>, estabelecimento de parcerias estratégicas para financiamento e adaptação de práticas educacionais às necessidades linguísticas específicas dos alunos.</w:t>
      </w:r>
    </w:p>
    <w:p w:rsidR="00FD483F" w:rsidRDefault="001F6FFD">
      <w:pPr>
        <w:pStyle w:val="BodyText"/>
        <w:spacing w:before="1" w:line="360" w:lineRule="auto"/>
        <w:ind w:right="114"/>
      </w:pPr>
      <w:r>
        <w:t xml:space="preserve">A implementação do </w:t>
      </w:r>
      <w:proofErr w:type="spellStart"/>
      <w:r>
        <w:t>SignWriting</w:t>
      </w:r>
      <w:proofErr w:type="spellEnd"/>
      <w:r>
        <w:t xml:space="preserve"> não só promove a alfabet</w:t>
      </w:r>
      <w:r>
        <w:t xml:space="preserve">ização bilíngue e inclusão educacional de alunos surdos, mas também fortalece sua participação plena na sociedade. Continuar investindo em pesquisa para aprimorar práticas educacionais relacionadas ao </w:t>
      </w:r>
      <w:proofErr w:type="spellStart"/>
      <w:r>
        <w:t>SignWriting</w:t>
      </w:r>
      <w:proofErr w:type="spellEnd"/>
      <w:r>
        <w:t xml:space="preserve"> e expandir sua adoção são passos cruciais p</w:t>
      </w:r>
      <w:r>
        <w:t>ara alcançar uma educação mais inclusiva e equitativa.</w:t>
      </w:r>
    </w:p>
    <w:p w:rsidR="00FD483F" w:rsidRDefault="00FD483F">
      <w:pPr>
        <w:pStyle w:val="BodyText"/>
        <w:spacing w:before="181"/>
        <w:ind w:left="0" w:firstLine="0"/>
        <w:jc w:val="left"/>
      </w:pPr>
    </w:p>
    <w:p w:rsidR="00FD483F" w:rsidRDefault="001F6FFD">
      <w:pPr>
        <w:pStyle w:val="Heading1"/>
      </w:pPr>
      <w:r>
        <w:rPr>
          <w:spacing w:val="-2"/>
        </w:rPr>
        <w:t>Referências</w:t>
      </w:r>
    </w:p>
    <w:p w:rsidR="00FD483F" w:rsidRDefault="001F6FFD">
      <w:pPr>
        <w:spacing w:before="183" w:line="259" w:lineRule="auto"/>
        <w:ind w:left="102"/>
        <w:rPr>
          <w:sz w:val="24"/>
        </w:rPr>
      </w:pPr>
      <w:r>
        <w:rPr>
          <w:sz w:val="24"/>
        </w:rPr>
        <w:t>SUTTON,</w:t>
      </w:r>
      <w:r>
        <w:rPr>
          <w:spacing w:val="-12"/>
          <w:sz w:val="24"/>
        </w:rPr>
        <w:t xml:space="preserve"> </w:t>
      </w:r>
      <w:r>
        <w:rPr>
          <w:sz w:val="24"/>
        </w:rPr>
        <w:t>V.</w:t>
      </w:r>
      <w:r>
        <w:rPr>
          <w:spacing w:val="-7"/>
          <w:sz w:val="24"/>
        </w:rPr>
        <w:t xml:space="preserve"> </w:t>
      </w:r>
      <w:r>
        <w:rPr>
          <w:sz w:val="24"/>
        </w:rPr>
        <w:t>(2002).</w:t>
      </w:r>
      <w:r>
        <w:rPr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SignWriting</w:t>
      </w:r>
      <w:proofErr w:type="spellEnd"/>
      <w:r>
        <w:rPr>
          <w:b/>
          <w:sz w:val="24"/>
        </w:rPr>
        <w:t>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In: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Encyclopedia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of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Language</w:t>
      </w:r>
      <w:proofErr w:type="spell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and</w:t>
      </w:r>
      <w:proofErr w:type="spellEnd"/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Linguistics</w:t>
      </w:r>
      <w:proofErr w:type="spellEnd"/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2nd </w:t>
      </w:r>
      <w:proofErr w:type="spellStart"/>
      <w:r>
        <w:rPr>
          <w:sz w:val="24"/>
        </w:rPr>
        <w:t>edition</w:t>
      </w:r>
      <w:proofErr w:type="spellEnd"/>
      <w:r>
        <w:rPr>
          <w:sz w:val="24"/>
        </w:rPr>
        <w:t xml:space="preserve">. Elsevier </w:t>
      </w:r>
      <w:proofErr w:type="spellStart"/>
      <w:r>
        <w:rPr>
          <w:sz w:val="24"/>
        </w:rPr>
        <w:t>Science</w:t>
      </w:r>
      <w:proofErr w:type="spellEnd"/>
      <w:r>
        <w:rPr>
          <w:sz w:val="24"/>
        </w:rPr>
        <w:t>.</w:t>
      </w:r>
    </w:p>
    <w:p w:rsidR="00FD483F" w:rsidRDefault="001F6FFD">
      <w:pPr>
        <w:spacing w:before="160" w:line="259" w:lineRule="auto"/>
        <w:ind w:left="102" w:right="185"/>
        <w:rPr>
          <w:sz w:val="24"/>
        </w:rPr>
      </w:pPr>
      <w:r>
        <w:rPr>
          <w:sz w:val="24"/>
        </w:rPr>
        <w:t>PADDEN,</w:t>
      </w:r>
      <w:r>
        <w:rPr>
          <w:spacing w:val="-14"/>
          <w:sz w:val="24"/>
        </w:rPr>
        <w:t xml:space="preserve"> </w:t>
      </w:r>
      <w:r>
        <w:rPr>
          <w:sz w:val="24"/>
        </w:rPr>
        <w:t>C.,</w:t>
      </w:r>
      <w:r>
        <w:rPr>
          <w:spacing w:val="-9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z w:val="24"/>
        </w:rPr>
        <w:t>HUMPHRIES,</w:t>
      </w:r>
      <w:r>
        <w:rPr>
          <w:spacing w:val="-13"/>
          <w:sz w:val="24"/>
        </w:rPr>
        <w:t xml:space="preserve"> </w:t>
      </w:r>
      <w:r>
        <w:rPr>
          <w:sz w:val="24"/>
        </w:rPr>
        <w:t>T.</w:t>
      </w:r>
      <w:r>
        <w:rPr>
          <w:spacing w:val="-9"/>
          <w:sz w:val="24"/>
        </w:rPr>
        <w:t xml:space="preserve"> </w:t>
      </w:r>
      <w:r>
        <w:rPr>
          <w:sz w:val="24"/>
        </w:rPr>
        <w:t>(1988).</w:t>
      </w:r>
      <w:r>
        <w:rPr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Deaf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5"/>
          <w:sz w:val="24"/>
        </w:rPr>
        <w:t xml:space="preserve"> </w:t>
      </w:r>
      <w:proofErr w:type="spellStart"/>
      <w:r>
        <w:rPr>
          <w:b/>
          <w:sz w:val="24"/>
        </w:rPr>
        <w:t>America</w:t>
      </w:r>
      <w:proofErr w:type="spellEnd"/>
      <w:r>
        <w:rPr>
          <w:b/>
          <w:sz w:val="24"/>
        </w:rPr>
        <w:t>:</w:t>
      </w:r>
      <w:r>
        <w:rPr>
          <w:b/>
          <w:spacing w:val="-14"/>
          <w:sz w:val="24"/>
        </w:rPr>
        <w:t xml:space="preserve"> </w:t>
      </w:r>
      <w:proofErr w:type="spellStart"/>
      <w:r>
        <w:rPr>
          <w:b/>
          <w:sz w:val="24"/>
        </w:rPr>
        <w:t>Voices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from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Culture</w:t>
      </w:r>
      <w:proofErr w:type="spellEnd"/>
      <w:r>
        <w:rPr>
          <w:sz w:val="24"/>
        </w:rPr>
        <w:t xml:space="preserve">. Harvard </w:t>
      </w:r>
      <w:proofErr w:type="spellStart"/>
      <w:r>
        <w:rPr>
          <w:sz w:val="24"/>
        </w:rPr>
        <w:t>University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Press</w:t>
      </w:r>
      <w:proofErr w:type="spellEnd"/>
      <w:r>
        <w:rPr>
          <w:sz w:val="24"/>
        </w:rPr>
        <w:t>.</w:t>
      </w:r>
    </w:p>
    <w:sectPr w:rsidR="00FD483F">
      <w:pgSz w:w="11910" w:h="16840"/>
      <w:pgMar w:top="2140" w:right="1020" w:bottom="280" w:left="160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FFD" w:rsidRDefault="001F6FFD">
      <w:r>
        <w:separator/>
      </w:r>
    </w:p>
  </w:endnote>
  <w:endnote w:type="continuationSeparator" w:id="0">
    <w:p w:rsidR="001F6FFD" w:rsidRDefault="001F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FFD" w:rsidRDefault="001F6FFD">
      <w:r>
        <w:separator/>
      </w:r>
    </w:p>
  </w:footnote>
  <w:footnote w:type="continuationSeparator" w:id="0">
    <w:p w:rsidR="001F6FFD" w:rsidRDefault="001F6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83F" w:rsidRDefault="001F6FFD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</w:rPr>
      <w:drawing>
        <wp:anchor distT="0" distB="0" distL="0" distR="0" simplePos="0" relativeHeight="487560192" behindDoc="1" locked="0" layoutInCell="1" allowOverlap="1">
          <wp:simplePos x="0" y="0"/>
          <wp:positionH relativeFrom="page">
            <wp:posOffset>2807589</wp:posOffset>
          </wp:positionH>
          <wp:positionV relativeFrom="page">
            <wp:posOffset>450214</wp:posOffset>
          </wp:positionV>
          <wp:extent cx="2300224" cy="91986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0224" cy="9198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483F"/>
    <w:rsid w:val="001F6FFD"/>
    <w:rsid w:val="006A3208"/>
    <w:rsid w:val="00F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1ECC7BD-06C0-5045-994A-F0979C63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quintana274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P. Quintana</dc:creator>
  <cp:lastModifiedBy>Microsoft Office User</cp:lastModifiedBy>
  <cp:revision>2</cp:revision>
  <dcterms:created xsi:type="dcterms:W3CDTF">2024-08-07T16:19:00Z</dcterms:created>
  <dcterms:modified xsi:type="dcterms:W3CDTF">2024-08-07T16:19:00Z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2024-08-07T00:00:00Z</vt:filetime>
  </property>
  <property fmtid="{D5CDD505-2E9C-101B-9397-08002B2CF9AE}" pid="5" name="Producer">
    <vt:lpwstr>Microsoft® Word para Microsoft 365</vt:lpwstr>
  </property>
</Properties>
</file>